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color w:val="333333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32"/>
          <w:szCs w:val="32"/>
          <w:highlight w:val="none"/>
        </w:rPr>
        <w:t>中国有研科技集团有限公司 稀土国家工程研究中心</w:t>
      </w:r>
    </w:p>
    <w:p>
      <w:pPr>
        <w:jc w:val="center"/>
        <w:rPr>
          <w:rFonts w:ascii="微软雅黑" w:hAnsi="微软雅黑" w:eastAsia="微软雅黑" w:cs="宋体"/>
          <w:b/>
          <w:bCs/>
          <w:color w:val="333333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32"/>
          <w:szCs w:val="32"/>
          <w:highlight w:val="none"/>
        </w:rPr>
        <w:t>稀土冶金与特种化合物材料研究团队（黄小卫院士团队）</w:t>
      </w:r>
      <w:r>
        <w:rPr>
          <w:rFonts w:ascii="微软雅黑" w:hAnsi="微软雅黑" w:eastAsia="微软雅黑" w:cs="宋体"/>
          <w:b/>
          <w:bCs/>
          <w:color w:val="333333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32"/>
          <w:szCs w:val="32"/>
          <w:highlight w:val="none"/>
        </w:rPr>
        <w:t>3-2024年度诚聘博士后</w:t>
      </w:r>
    </w:p>
    <w:p>
      <w:pPr>
        <w:widowControl/>
        <w:pBdr>
          <w:bottom w:val="single" w:color="CCCCCC" w:sz="6" w:space="0"/>
        </w:pBdr>
        <w:shd w:val="clear" w:color="auto" w:fill="FFFFFF"/>
        <w:spacing w:before="312" w:beforeLines="100"/>
        <w:ind w:firstLine="504" w:firstLineChars="200"/>
        <w:outlineLvl w:val="3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中国有研科技集团有限公司-稀土国家工程研究中心稀土冶金与特种化合物材料研究团队（黄小卫院士团队）面向国内外诚聘博士后若干名，具体要求如下：</w:t>
      </w:r>
    </w:p>
    <w:p>
      <w:pPr>
        <w:pStyle w:val="14"/>
        <w:widowControl/>
        <w:numPr>
          <w:ilvl w:val="0"/>
          <w:numId w:val="1"/>
        </w:numPr>
        <w:pBdr>
          <w:bottom w:val="single" w:color="CCCCCC" w:sz="6" w:space="0"/>
        </w:pBdr>
        <w:shd w:val="clear" w:color="auto" w:fill="FFFFFF"/>
        <w:spacing w:before="312" w:beforeLines="100"/>
        <w:ind w:firstLineChars="0"/>
        <w:outlineLvl w:val="3"/>
        <w:rPr>
          <w:rFonts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  <w:t>团队介绍</w:t>
      </w:r>
    </w:p>
    <w:p>
      <w:pPr>
        <w:widowControl/>
        <w:pBdr>
          <w:bottom w:val="single" w:color="CCCCCC" w:sz="6" w:space="0"/>
        </w:pBdr>
        <w:shd w:val="clear" w:color="auto" w:fill="FFFFFF"/>
        <w:spacing w:before="312" w:beforeLines="100"/>
        <w:ind w:firstLine="504" w:firstLineChars="200"/>
        <w:outlineLvl w:val="3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稀土国家工程研究中心（原“稀土材料国家工程研究中心”，简称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稀土中心”）是1995年国家发改委批准建立的第一批国家级工程研究中心，隶属于北京有色金属研究总院，1952年开始从事稀土研究开发，是我国稀土工业技术的主要发源地。先后获得发改委授予的国家工程研究中心先进集体和重大成就奖。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，原稀土材料国家工程研究中心经优化整合，更名为稀土国家工程研究中心，被纳入国家发改委首批新序列管理，成为目前国内稀土领域唯一的国家工程研究中心。致力于打造世界稀土全产业链创新高地，支撑稀土科技与产业发展。</w:t>
      </w:r>
    </w:p>
    <w:p>
      <w:pPr>
        <w:ind w:firstLine="504" w:firstLineChars="20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稀土冶金与特种化合物材料研究团队（黄小卫院士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）现有正高级工程师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10人，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高级工程师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6人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。团队先后获得中央企业优秀科技创新团队、全国工人先锋号、中国有色金属创新争先计划团队、“智汇郑州•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1125 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聚才计划”顶尖人才团队等荣誉。团队多人次获得中国“杰出工程师奖及青年奖”、国家万人计划青年拔尖人才、中国稀土学会青年科学家和杰出工程师、中国有色金属学会杰出青年工程师、全国有色金属优秀青年科技奖、北京市科技新星、北京市优秀人才等荣誉称号。团队拥有先进的实验室、工程化研究中心和产业化基地，先后承担国家重点研发计划、国家自然科学基金、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863、973、国家科技支撑、国家稀土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专项等数十项，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收入５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000万元/年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左右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团队近十年来获得国家技术发明二等奖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中国专利奖、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省部级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一等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0多项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312" w:beforeLines="100" w:line="360" w:lineRule="auto"/>
        <w:ind w:firstLine="482"/>
        <w:rPr>
          <w:rFonts w:ascii="微软雅黑" w:hAnsi="微软雅黑" w:eastAsia="微软雅黑"/>
          <w:b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合作导师：</w:t>
      </w:r>
    </w:p>
    <w:p>
      <w:pPr>
        <w:pStyle w:val="4"/>
        <w:snapToGrid w:val="0"/>
        <w:ind w:firstLine="504" w:firstLineChars="200"/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黄小卫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，中国工程院院士、亚太材料科学院院士，正高级工程师，博士生导师。现任中国有研科技集团有限公司首席科学家、稀土国家工程研究中心主任；兼任中国稀土学会副理事长、稀土化学及湿法冶金专业委员会主任，中国有色金属学会副理事长、稀有金属冶金学术委员会主任，《中国稀土学报》（中英文版）常务副主编等。获“第十四届光华工程科技奖”、首届“杰出工程师奖”、“全国优秀科技工作者”、“全国劳动模范”、“全国创新争先奖状”、“央企楷模”等荣誉。</w:t>
      </w:r>
    </w:p>
    <w:p>
      <w:pPr>
        <w:pStyle w:val="4"/>
        <w:snapToGrid w:val="0"/>
        <w:ind w:firstLine="504" w:firstLineChars="200"/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1983年以来，一直从事稀土矿冶炼、分离提纯和稀土新材料的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研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发及推广应用。攻克了系列稀土冶金工艺技术难题，取得多项创新成果，在数十家大型稀土企业大规模推广应用，从源头消除氨氮废水及放射性废渣污染，实现镁盐废水和</w:t>
      </w:r>
      <w:r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CO</w:t>
      </w:r>
      <w:r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有效循环利用，大幅提升稀土资源利用率和生产成本，多项技术成为行业主流技术，推动了稀土资源绿色高效开发利用，引领稀土工业绿色高质量发展。</w:t>
      </w:r>
    </w:p>
    <w:p>
      <w:pPr>
        <w:pStyle w:val="4"/>
        <w:snapToGrid w:val="0"/>
        <w:ind w:firstLine="504" w:firstLineChars="200"/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获授权发明专利</w:t>
      </w:r>
      <w:r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150余项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（国外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多项）</w:t>
      </w:r>
      <w:r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，出版专著5部，发表论文200余篇，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爱思唯尔中国高被引学者（冶金工程）；获国家技术发明二等奖</w:t>
      </w:r>
      <w:r>
        <w:rPr>
          <w:rFonts w:ascii="微软雅黑" w:hAnsi="微软雅黑" w:eastAsia="微软雅黑"/>
          <w:bCs/>
          <w:color w:val="000000" w:themeColor="text1"/>
          <w:w w:val="105"/>
          <w:szCs w:val="24"/>
          <w:highlight w:val="none"/>
          <w14:textFill>
            <w14:solidFill>
              <w14:schemeClr w14:val="tx1"/>
            </w14:solidFill>
          </w14:textFill>
        </w:rPr>
        <w:t>1项、国家科技进步二等奖和三等奖各1项，中国专利优秀奖5项、省部级一等奖10余项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75" w:lineRule="atLeast"/>
        <w:ind w:firstLine="462" w:firstLineChars="200"/>
        <w:jc w:val="left"/>
        <w:rPr>
          <w:rFonts w:ascii="微软雅黑" w:hAnsi="微软雅黑" w:eastAsia="微软雅黑"/>
          <w:bCs/>
          <w:color w:val="000000" w:themeColor="text1"/>
          <w:w w:val="105"/>
          <w:sz w:val="22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2"/>
          <w:szCs w:val="24"/>
          <w:highlight w:val="none"/>
          <w14:textFill>
            <w14:solidFill>
              <w14:schemeClr w14:val="tx1"/>
            </w14:solidFill>
          </w14:textFill>
        </w:rPr>
        <w:t>（黄小卫院士简介详见</w:t>
      </w:r>
      <w:r>
        <w:rPr>
          <w:rFonts w:hint="default" w:ascii="Times New Roman" w:hAnsi="Times New Roman" w:eastAsia="微软雅黑" w:cs="Times New Roman"/>
          <w:bCs/>
          <w:color w:val="000000" w:themeColor="text1"/>
          <w:w w:val="105"/>
          <w:sz w:val="22"/>
          <w:szCs w:val="24"/>
          <w:highlight w:val="none"/>
          <w14:textFill>
            <w14:solidFill>
              <w14:schemeClr w14:val="tx1"/>
            </w14:solidFill>
          </w14:textFill>
        </w:rPr>
        <w:t>：https://www.grinm.com/s/2700-7102-8322.html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2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line="375" w:lineRule="atLeast"/>
        <w:ind w:firstLine="440" w:firstLineChars="200"/>
        <w:jc w:val="left"/>
        <w:rPr>
          <w:rStyle w:val="11"/>
          <w:rFonts w:ascii="微软雅黑" w:hAnsi="微软雅黑" w:eastAsia="微软雅黑" w:cs="Times New Roman"/>
          <w:kern w:val="0"/>
          <w:sz w:val="22"/>
          <w:szCs w:val="24"/>
          <w:highlight w:val="none"/>
        </w:rPr>
      </w:pPr>
    </w:p>
    <w:p>
      <w:pPr>
        <w:ind w:firstLine="504" w:firstLineChars="200"/>
        <w:rPr>
          <w:color w:val="000000"/>
          <w:sz w:val="18"/>
          <w:szCs w:val="18"/>
          <w:highlight w:val="none"/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w w:val="105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杨娟玉</w:t>
      </w:r>
      <w:r>
        <w:rPr>
          <w:rFonts w:hint="eastAsia"/>
          <w:b/>
          <w:bCs/>
          <w:color w:val="000000" w:themeColor="text1"/>
          <w:w w:val="105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正高级工程师，博士生导师。一直从事纳米粉体材料、稀土化合物材料、电池材料及其制备技术的研究，同时在熔盐电化学领域有近十五年的科研与工程技术开发经历。先后承担或主持了国家自然科学基金项目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项、国家“863”高技术研究项目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项、工信部重大专项2项及其它国家级或北京市研究项目10余项。获中国有色金属工业科学技术一等奖1项，获国家授权专利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0余项，美国、日本、韩国等国际专利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项，发表SCI论文30余篇。</w:t>
      </w:r>
    </w:p>
    <w:p>
      <w:pPr>
        <w:widowControl/>
        <w:spacing w:line="375" w:lineRule="atLeast"/>
        <w:ind w:firstLine="504" w:firstLineChars="200"/>
        <w:jc w:val="left"/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2"/>
          <w:szCs w:val="24"/>
          <w:highlight w:val="none"/>
          <w14:textFill>
            <w14:solidFill>
              <w14:schemeClr w14:val="tx1"/>
            </w14:solidFill>
          </w14:textFill>
        </w:rPr>
        <w:t>杨娟玉简介详见：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"http://www.grinm.com" </w:instrText>
      </w:r>
      <w:r>
        <w:rPr>
          <w:highlight w:val="none"/>
        </w:rPr>
        <w:fldChar w:fldCharType="separate"/>
      </w:r>
      <w:r>
        <w:rPr>
          <w:highlight w:val="none"/>
        </w:rPr>
        <w:t>http://www.grinm.com</w:t>
      </w:r>
      <w:r>
        <w:rPr>
          <w:highlight w:val="none"/>
        </w:rPr>
        <w:fldChar w:fldCharType="end"/>
      </w:r>
      <w:r>
        <w:rPr>
          <w:highlight w:val="none"/>
        </w:rPr>
        <w:t>/s/2700-7102-83</w:t>
      </w:r>
      <w:r>
        <w:rPr>
          <w:rFonts w:hint="eastAsia"/>
          <w:highlight w:val="none"/>
        </w:rPr>
        <w:t>37</w:t>
      </w:r>
      <w:r>
        <w:rPr>
          <w:highlight w:val="none"/>
        </w:rPr>
        <w:t>.html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</w:pPr>
    </w:p>
    <w:p>
      <w:pPr>
        <w:widowControl/>
        <w:shd w:val="clear" w:color="auto" w:fill="FFFFFF"/>
        <w:spacing w:line="360" w:lineRule="auto"/>
        <w:ind w:firstLine="504" w:firstLineChars="200"/>
        <w:outlineLvl w:val="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现因工作需要，团队拟招收全脱产博士后研究人员4-5人，其中稀有金属及稀土提取分离方向2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高端稀土化合物材料方向2-3人。</w:t>
      </w:r>
    </w:p>
    <w:p>
      <w:pPr>
        <w:widowControl/>
        <w:pBdr>
          <w:bottom w:val="single" w:color="CCCCCC" w:sz="6" w:space="0"/>
        </w:pBdr>
        <w:shd w:val="clear" w:color="auto" w:fill="FFFFFF"/>
        <w:spacing w:before="312" w:beforeLines="100"/>
        <w:ind w:firstLine="480" w:firstLineChars="200"/>
        <w:outlineLvl w:val="3"/>
        <w:rPr>
          <w:rFonts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  <w:t>二、研究方向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 w:cs="Times New Roman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稀有稀土提取分离方向：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复杂稀有稀土资源及主要伴生资源绿色提取分离；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after="15" w:line="478" w:lineRule="atLeast"/>
        <w:ind w:firstLine="504" w:firstLineChars="20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稀有稀土高效清洁分离提纯；</w:t>
      </w:r>
    </w:p>
    <w:p>
      <w:pPr>
        <w:widowControl/>
        <w:shd w:val="clear" w:color="auto" w:fill="FFFFFF"/>
        <w:spacing w:after="15" w:line="478" w:lineRule="atLeast"/>
        <w:ind w:firstLine="504" w:firstLineChars="200"/>
        <w:rPr>
          <w:rFonts w:ascii="微软雅黑" w:hAnsi="微软雅黑" w:eastAsia="微软雅黑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、超高纯稀土化合物材料制备新方法、新技术。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 w:cs="Times New Roman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特种稀土化合物材料方向：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新型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稀土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催化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材料的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研究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开发；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汽油车、柴油车、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VOCs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用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高性能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催化材料制备技术与应用基础研究；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2、稀土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功能陶瓷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粉体材料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研究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固态电池、燃料电池用稀土电解质，隔热、防腐涂层及传感器用稀土陶瓷粉体材料及应用基础研究；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、高性能稀土抛光粉、纳米稀土氧化物等特殊物性稀土化合物材料制备技术与基础理论。</w:t>
      </w:r>
    </w:p>
    <w:p>
      <w:pPr>
        <w:widowControl/>
        <w:pBdr>
          <w:bottom w:val="single" w:color="CCCCCC" w:sz="6" w:space="0"/>
        </w:pBdr>
        <w:shd w:val="clear" w:color="auto" w:fill="FFFFFF"/>
        <w:spacing w:before="312" w:beforeLines="100"/>
        <w:ind w:firstLine="480" w:firstLineChars="200"/>
        <w:outlineLvl w:val="3"/>
        <w:rPr>
          <w:rFonts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  <w:t>三、应聘条件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道德品质优良，有较好的人际沟通能力、较强的独立从事科研工作的能力和良好的团队合作精神；</w:t>
      </w:r>
    </w:p>
    <w:p>
      <w:pPr>
        <w:pStyle w:val="7"/>
        <w:widowControl/>
        <w:shd w:val="clear" w:color="auto" w:fill="FFFFFF"/>
        <w:wordWrap w:val="0"/>
        <w:spacing w:beforeAutospacing="0" w:afterAutospacing="0"/>
        <w:ind w:firstLine="480"/>
        <w:jc w:val="both"/>
        <w:rPr>
          <w:rFonts w:ascii="微软雅黑" w:hAnsi="微软雅黑" w:eastAsia="微软雅黑" w:cs="仿宋"/>
          <w:color w:val="000000"/>
          <w:highlight w:val="none"/>
          <w:lang w:bidi="ar"/>
        </w:rPr>
      </w:pPr>
      <w:r>
        <w:rPr>
          <w:rFonts w:hint="eastAsia" w:ascii="微软雅黑" w:hAnsi="微软雅黑" w:eastAsia="微软雅黑" w:cs="宋体"/>
          <w:color w:val="333333"/>
          <w:highlight w:val="none"/>
        </w:rPr>
        <w:t>2、</w:t>
      </w:r>
      <w:r>
        <w:rPr>
          <w:rFonts w:hint="eastAsia" w:ascii="微软雅黑" w:hAnsi="微软雅黑" w:eastAsia="微软雅黑" w:cs="仿宋"/>
          <w:color w:val="000000"/>
          <w:highlight w:val="none"/>
          <w:lang w:bidi="ar"/>
        </w:rPr>
        <w:t>应届博士毕业生或已获得博士学位，且获学位时间一般不超过3年，年龄在35</w:t>
      </w:r>
      <w:r>
        <w:rPr>
          <w:rFonts w:hint="eastAsia" w:ascii="微软雅黑" w:hAnsi="微软雅黑" w:eastAsia="微软雅黑" w:cs="宋体"/>
          <w:color w:val="333333"/>
          <w:highlight w:val="none"/>
        </w:rPr>
        <w:t>周岁</w:t>
      </w:r>
      <w:r>
        <w:rPr>
          <w:rFonts w:hint="eastAsia" w:ascii="微软雅黑" w:hAnsi="微软雅黑" w:eastAsia="微软雅黑" w:cs="仿宋"/>
          <w:color w:val="000000"/>
          <w:highlight w:val="none"/>
          <w:lang w:bidi="ar"/>
        </w:rPr>
        <w:t>以下，身体健康；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3、具有较强的英文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听说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读写能力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 w:cs="Times New Roman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稀有稀土提取分离方向：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具有矿物加工、冶金、化学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化工专业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背景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具有选矿、湿法冶金、溶剂萃取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、分离提纯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等领域相关研究经验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者优先考虑；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高端稀土化合物材料方向：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具有材料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学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、物理或化学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化工专业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背景</w:t>
      </w:r>
      <w:r>
        <w:rPr>
          <w:rFonts w:hint="eastAsia" w:ascii="微软雅黑" w:hAnsi="微软雅黑" w:eastAsia="微软雅黑" w:cs="仿宋"/>
          <w:color w:val="000000"/>
          <w:kern w:val="0"/>
          <w:sz w:val="24"/>
          <w:highlight w:val="none"/>
          <w:lang w:bidi="ar"/>
        </w:rPr>
        <w:t>，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具有催化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材料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特种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陶瓷材料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、研磨抛光材料、其他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无机粉体材料研究经验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者优先考虑。</w:t>
      </w:r>
    </w:p>
    <w:p>
      <w:pPr>
        <w:widowControl/>
        <w:pBdr>
          <w:bottom w:val="single" w:color="CCCCCC" w:sz="6" w:space="0"/>
        </w:pBdr>
        <w:shd w:val="clear" w:color="auto" w:fill="FFFFFF"/>
        <w:spacing w:before="312" w:beforeLines="100"/>
        <w:ind w:firstLine="480" w:firstLineChars="200"/>
        <w:outlineLvl w:val="3"/>
        <w:rPr>
          <w:rFonts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  <w:t>四、薪酬待遇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提供具有竞争力（不低于单位同等学历在职人员标准）的薪酬待遇，享受所在团队职工福利及六险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金待遇，平均年收入合计25-30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（根据年度绩效考核确定）；</w:t>
      </w:r>
      <w:bookmarkStart w:id="0" w:name="_GoBack"/>
      <w:bookmarkEnd w:id="0"/>
    </w:p>
    <w:p>
      <w:pPr>
        <w:widowControl/>
        <w:shd w:val="clear" w:color="auto" w:fill="FFFFFF"/>
        <w:spacing w:after="15" w:line="478" w:lineRule="atLeast"/>
        <w:ind w:firstLine="504" w:firstLineChars="20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2、在站期间可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北京市北三环附近两室一厅周转房1套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协助解决子女入托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、入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学问题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、提供充足的项目经费和良好的科研条件，以及国内外学术交流机会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支持国家重点研发计划（含青年科学家项目）、国家自然科学基金、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中国博士后科学基金、博士后创新人才支持计划（60万/2年）、国家博士后国际交流计划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、单位所在地的省市科技计划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项目的申请；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、优秀者出站后可留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有研稀土、稀土国家工程研究中心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从事科研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开发或产业化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工作，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按照博士后管理政策办理北京户口落户事宜。</w:t>
      </w:r>
    </w:p>
    <w:p>
      <w:pPr>
        <w:widowControl/>
        <w:pBdr>
          <w:bottom w:val="single" w:color="CCCCCC" w:sz="6" w:space="0"/>
        </w:pBdr>
        <w:shd w:val="clear" w:color="auto" w:fill="FFFFFF"/>
        <w:spacing w:before="312" w:beforeLines="100"/>
        <w:ind w:firstLine="480" w:firstLineChars="200"/>
        <w:outlineLvl w:val="3"/>
        <w:rPr>
          <w:rFonts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  <w:t>五、申请材料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1、个人简历及相关证明材料；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2、三篇论文代表作全文；</w:t>
      </w:r>
    </w:p>
    <w:p>
      <w:pPr>
        <w:widowControl/>
        <w:shd w:val="clear" w:color="auto" w:fill="FFFFFF"/>
        <w:spacing w:after="15"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3、博士后期间的研究计划、预期目标等。</w:t>
      </w:r>
    </w:p>
    <w:p>
      <w:pPr>
        <w:widowControl/>
        <w:pBdr>
          <w:bottom w:val="single" w:color="CCCCCC" w:sz="6" w:space="0"/>
        </w:pBdr>
        <w:shd w:val="clear" w:color="auto" w:fill="FFFFFF"/>
        <w:spacing w:before="312" w:beforeLines="100"/>
        <w:ind w:firstLine="480" w:firstLineChars="200"/>
        <w:outlineLvl w:val="3"/>
        <w:rPr>
          <w:rFonts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  <w:t>六、联系方式</w:t>
      </w:r>
    </w:p>
    <w:p>
      <w:pPr>
        <w:widowControl/>
        <w:shd w:val="clear" w:color="auto" w:fill="FFFFFF"/>
        <w:spacing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应聘者请将个人简历发送至：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"mailto:hxw0129@126.com;chunmei8988@126.com" </w:instrText>
      </w:r>
      <w:r>
        <w:rPr>
          <w:highlight w:val="none"/>
        </w:rPr>
        <w:fldChar w:fldCharType="separate"/>
      </w:r>
      <w:r>
        <w:rPr>
          <w:rFonts w:hint="eastAsia" w:ascii="Times New Roman" w:hAnsi="Times New Roman" w:cs="Times New Roman"/>
          <w:b/>
          <w:color w:val="0070C0"/>
          <w:kern w:val="0"/>
          <w:highlight w:val="none"/>
        </w:rPr>
        <w:t>hxw@grinm.com</w:t>
      </w:r>
      <w:r>
        <w:rPr>
          <w:rFonts w:ascii="Times New Roman" w:hAnsi="Times New Roman" w:cs="Times New Roman"/>
          <w:b/>
          <w:color w:val="0070C0"/>
          <w:kern w:val="0"/>
          <w:highlight w:val="none"/>
        </w:rPr>
        <w:t>;</w:t>
      </w:r>
      <w:r>
        <w:rPr>
          <w:highlight w:val="none"/>
        </w:rPr>
        <w:t xml:space="preserve"> </w:t>
      </w:r>
      <w:r>
        <w:rPr>
          <w:rFonts w:hint="eastAsia"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  <w:t>juanyuyang@grinm.com；</w:t>
      </w:r>
      <w:r>
        <w:rPr>
          <w:rFonts w:hint="eastAsia" w:ascii="Times New Roman" w:hAnsi="Times New Roman" w:cs="Times New Roman"/>
          <w:b/>
          <w:color w:val="0070C0"/>
          <w:kern w:val="0"/>
          <w:highlight w:val="none"/>
        </w:rPr>
        <w:t>wangchunmei@grirem.com</w:t>
      </w:r>
      <w:r>
        <w:rPr>
          <w:rFonts w:hint="eastAsia" w:ascii="Times New Roman" w:hAnsi="Times New Roman" w:cs="Times New Roman"/>
          <w:b/>
          <w:color w:val="0070C0"/>
          <w:kern w:val="0"/>
          <w:highlight w:val="none"/>
        </w:rPr>
        <w:fldChar w:fldCharType="end"/>
      </w:r>
      <w:r>
        <w:rPr>
          <w:rFonts w:ascii="Times New Roman" w:hAnsi="Times New Roman" w:eastAsia="微软雅黑" w:cs="Times New Roman"/>
          <w:b/>
          <w:bCs/>
          <w:color w:val="0070C0"/>
          <w:kern w:val="0"/>
          <w:sz w:val="24"/>
          <w:szCs w:val="24"/>
          <w:highlight w:val="none"/>
        </w:rPr>
        <w:t>；</w:t>
      </w:r>
    </w:p>
    <w:p>
      <w:pPr>
        <w:widowControl/>
        <w:shd w:val="clear" w:color="auto" w:fill="FFFFFF"/>
        <w:spacing w:line="478" w:lineRule="atLeast"/>
        <w:ind w:firstLine="480"/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：黄老师、杨老师、王</w:t>
      </w:r>
      <w:r>
        <w:rPr>
          <w:rFonts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微软雅黑" w:hAnsi="微软雅黑" w:eastAsia="微软雅黑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widowControl/>
        <w:spacing w:beforeAutospacing="0" w:after="16" w:afterAutospacing="0" w:line="418" w:lineRule="atLeast"/>
        <w:ind w:firstLine="420"/>
        <w:jc w:val="both"/>
        <w:rPr>
          <w:rFonts w:ascii="微软雅黑" w:hAnsi="微软雅黑" w:eastAsia="微软雅黑" w:cstheme="minorBidi"/>
          <w:bCs/>
          <w:color w:val="000000" w:themeColor="text1"/>
          <w:w w:val="105"/>
          <w:kern w:val="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Cs/>
          <w:color w:val="000000" w:themeColor="text1"/>
          <w:w w:val="105"/>
          <w:kern w:val="2"/>
          <w:highlight w:val="none"/>
          <w14:textFill>
            <w14:solidFill>
              <w14:schemeClr w14:val="tx1"/>
            </w14:solidFill>
          </w14:textFill>
        </w:rPr>
        <w:t>邮件格式：邮件标题和简历附件命名为“研究方向+学校（工作单位）+姓名</w:t>
      </w:r>
      <w:r>
        <w:rPr>
          <w:rFonts w:ascii="微软雅黑" w:hAnsi="微软雅黑" w:eastAsia="微软雅黑" w:cstheme="minorBidi"/>
          <w:bCs/>
          <w:color w:val="000000" w:themeColor="text1"/>
          <w:w w:val="105"/>
          <w:kern w:val="2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微软雅黑" w:hAnsi="微软雅黑" w:eastAsia="微软雅黑" w:cstheme="minorBidi"/>
          <w:bCs/>
          <w:color w:val="000000" w:themeColor="text1"/>
          <w:w w:val="105"/>
          <w:kern w:val="2"/>
          <w:highlight w:val="none"/>
          <w14:textFill>
            <w14:solidFill>
              <w14:schemeClr w14:val="tx1"/>
            </w14:solidFill>
          </w14:textFill>
        </w:rPr>
        <w:t>应聘导师姓名</w:t>
      </w:r>
      <w:r>
        <w:rPr>
          <w:rFonts w:ascii="微软雅黑" w:hAnsi="微软雅黑" w:eastAsia="微软雅黑" w:cstheme="minorBidi"/>
          <w:bCs/>
          <w:color w:val="000000" w:themeColor="text1"/>
          <w:w w:val="105"/>
          <w:kern w:val="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微软雅黑" w:hAnsi="微软雅黑" w:eastAsia="微软雅黑" w:cstheme="minorBidi"/>
          <w:bCs/>
          <w:color w:val="000000" w:themeColor="text1"/>
          <w:w w:val="105"/>
          <w:kern w:val="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widowControl/>
        <w:spacing w:beforeAutospacing="0" w:after="16" w:afterAutospacing="0" w:line="418" w:lineRule="atLeast"/>
        <w:ind w:firstLine="420"/>
        <w:jc w:val="both"/>
        <w:rPr>
          <w:rFonts w:ascii="微软雅黑" w:hAnsi="微软雅黑" w:eastAsia="微软雅黑" w:cstheme="minorBidi"/>
          <w:bCs/>
          <w:color w:val="000000" w:themeColor="text1"/>
          <w:w w:val="105"/>
          <w:kern w:val="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  <w:t>欢迎有志于从事科研的青年才俊加入！</w:t>
      </w:r>
    </w:p>
    <w:p>
      <w:pPr>
        <w:widowControl/>
        <w:shd w:val="clear" w:color="auto" w:fill="FFFFFF"/>
        <w:spacing w:line="478" w:lineRule="atLeast"/>
        <w:ind w:firstLine="480"/>
        <w:rPr>
          <w:rFonts w:asciiTheme="minorEastAsia" w:hAnsiTheme="minorEastAsia"/>
          <w:bCs/>
          <w:color w:val="000000" w:themeColor="text1"/>
          <w:w w:val="105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55854"/>
    <w:multiLevelType w:val="multilevel"/>
    <w:tmpl w:val="0DD55854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WU5NDMwN2ZiYjMzNmY0OTI2MTU0ZTFjNzlmZDkifQ=="/>
  </w:docVars>
  <w:rsids>
    <w:rsidRoot w:val="003A19DC"/>
    <w:rsid w:val="000032AB"/>
    <w:rsid w:val="000123BD"/>
    <w:rsid w:val="00017669"/>
    <w:rsid w:val="000329B5"/>
    <w:rsid w:val="00042711"/>
    <w:rsid w:val="000624F4"/>
    <w:rsid w:val="000773DF"/>
    <w:rsid w:val="0008442C"/>
    <w:rsid w:val="00095C1A"/>
    <w:rsid w:val="000A08B2"/>
    <w:rsid w:val="000A1C7A"/>
    <w:rsid w:val="000C2FF6"/>
    <w:rsid w:val="000C53AF"/>
    <w:rsid w:val="000D128A"/>
    <w:rsid w:val="000D1665"/>
    <w:rsid w:val="000D3282"/>
    <w:rsid w:val="000F5195"/>
    <w:rsid w:val="00112391"/>
    <w:rsid w:val="00135845"/>
    <w:rsid w:val="001742C5"/>
    <w:rsid w:val="00175060"/>
    <w:rsid w:val="00180A1A"/>
    <w:rsid w:val="00195B14"/>
    <w:rsid w:val="001A54CE"/>
    <w:rsid w:val="001D29AA"/>
    <w:rsid w:val="001D3F04"/>
    <w:rsid w:val="001F3BEC"/>
    <w:rsid w:val="001F6B4B"/>
    <w:rsid w:val="00201E2A"/>
    <w:rsid w:val="00220387"/>
    <w:rsid w:val="00223CFE"/>
    <w:rsid w:val="00226080"/>
    <w:rsid w:val="0025574B"/>
    <w:rsid w:val="00281997"/>
    <w:rsid w:val="002A30F9"/>
    <w:rsid w:val="002B47D5"/>
    <w:rsid w:val="002B6BE1"/>
    <w:rsid w:val="002C6C36"/>
    <w:rsid w:val="002D790C"/>
    <w:rsid w:val="002E4F0E"/>
    <w:rsid w:val="002E6682"/>
    <w:rsid w:val="002E7833"/>
    <w:rsid w:val="002F5466"/>
    <w:rsid w:val="0030757E"/>
    <w:rsid w:val="003118DF"/>
    <w:rsid w:val="0032708A"/>
    <w:rsid w:val="00337905"/>
    <w:rsid w:val="00337FE4"/>
    <w:rsid w:val="00345F36"/>
    <w:rsid w:val="0036492B"/>
    <w:rsid w:val="00383226"/>
    <w:rsid w:val="00383529"/>
    <w:rsid w:val="00384BE0"/>
    <w:rsid w:val="003917B8"/>
    <w:rsid w:val="003A19DC"/>
    <w:rsid w:val="003B5CE2"/>
    <w:rsid w:val="003C31BA"/>
    <w:rsid w:val="003D1F6E"/>
    <w:rsid w:val="003E51C8"/>
    <w:rsid w:val="00425FE1"/>
    <w:rsid w:val="00430095"/>
    <w:rsid w:val="00446B22"/>
    <w:rsid w:val="00465B21"/>
    <w:rsid w:val="00490196"/>
    <w:rsid w:val="004B154D"/>
    <w:rsid w:val="004B1575"/>
    <w:rsid w:val="004B3B82"/>
    <w:rsid w:val="004B471E"/>
    <w:rsid w:val="004C0187"/>
    <w:rsid w:val="004C6863"/>
    <w:rsid w:val="0050527C"/>
    <w:rsid w:val="00507E18"/>
    <w:rsid w:val="005314E4"/>
    <w:rsid w:val="0053774B"/>
    <w:rsid w:val="00537F91"/>
    <w:rsid w:val="00556C76"/>
    <w:rsid w:val="00562C1B"/>
    <w:rsid w:val="00563327"/>
    <w:rsid w:val="005777E4"/>
    <w:rsid w:val="00583F82"/>
    <w:rsid w:val="00592012"/>
    <w:rsid w:val="00595AF2"/>
    <w:rsid w:val="005A0A86"/>
    <w:rsid w:val="005B2795"/>
    <w:rsid w:val="005B4C58"/>
    <w:rsid w:val="005C28D0"/>
    <w:rsid w:val="005D0738"/>
    <w:rsid w:val="005F5435"/>
    <w:rsid w:val="005F7818"/>
    <w:rsid w:val="006053F7"/>
    <w:rsid w:val="00631033"/>
    <w:rsid w:val="0063314E"/>
    <w:rsid w:val="00655225"/>
    <w:rsid w:val="006564CA"/>
    <w:rsid w:val="00676A8D"/>
    <w:rsid w:val="006837EA"/>
    <w:rsid w:val="00693225"/>
    <w:rsid w:val="006971DA"/>
    <w:rsid w:val="006A128D"/>
    <w:rsid w:val="006A4934"/>
    <w:rsid w:val="006A5F9B"/>
    <w:rsid w:val="006B1684"/>
    <w:rsid w:val="006B303E"/>
    <w:rsid w:val="006D2E21"/>
    <w:rsid w:val="006E38F4"/>
    <w:rsid w:val="0071180B"/>
    <w:rsid w:val="00720A82"/>
    <w:rsid w:val="00755D29"/>
    <w:rsid w:val="0076469D"/>
    <w:rsid w:val="007747EB"/>
    <w:rsid w:val="00777E2E"/>
    <w:rsid w:val="00790798"/>
    <w:rsid w:val="00790FA4"/>
    <w:rsid w:val="007A037D"/>
    <w:rsid w:val="007B13B9"/>
    <w:rsid w:val="007C7C03"/>
    <w:rsid w:val="007D5C5D"/>
    <w:rsid w:val="007F0ACD"/>
    <w:rsid w:val="007F5B77"/>
    <w:rsid w:val="008006D7"/>
    <w:rsid w:val="00812CD6"/>
    <w:rsid w:val="00820D4A"/>
    <w:rsid w:val="008225FA"/>
    <w:rsid w:val="008255F7"/>
    <w:rsid w:val="008403CB"/>
    <w:rsid w:val="00850C1A"/>
    <w:rsid w:val="00853919"/>
    <w:rsid w:val="00875E0D"/>
    <w:rsid w:val="0087675A"/>
    <w:rsid w:val="00884824"/>
    <w:rsid w:val="00886281"/>
    <w:rsid w:val="00890AE6"/>
    <w:rsid w:val="008A37C6"/>
    <w:rsid w:val="008B1F23"/>
    <w:rsid w:val="008C4CCA"/>
    <w:rsid w:val="008C6E2F"/>
    <w:rsid w:val="008C7D8A"/>
    <w:rsid w:val="008D0CDD"/>
    <w:rsid w:val="008D3482"/>
    <w:rsid w:val="008F22AD"/>
    <w:rsid w:val="00910CF5"/>
    <w:rsid w:val="009229DA"/>
    <w:rsid w:val="00937BE3"/>
    <w:rsid w:val="00941C71"/>
    <w:rsid w:val="009520CB"/>
    <w:rsid w:val="00962018"/>
    <w:rsid w:val="00962C6C"/>
    <w:rsid w:val="00972D5A"/>
    <w:rsid w:val="009B1E62"/>
    <w:rsid w:val="009C35AA"/>
    <w:rsid w:val="009C3A84"/>
    <w:rsid w:val="009E0F23"/>
    <w:rsid w:val="00A25E8E"/>
    <w:rsid w:val="00A27B99"/>
    <w:rsid w:val="00A45275"/>
    <w:rsid w:val="00A5069C"/>
    <w:rsid w:val="00A607DE"/>
    <w:rsid w:val="00A617E3"/>
    <w:rsid w:val="00A62523"/>
    <w:rsid w:val="00A66977"/>
    <w:rsid w:val="00A80D64"/>
    <w:rsid w:val="00A81AE5"/>
    <w:rsid w:val="00AA0FB1"/>
    <w:rsid w:val="00AC49B1"/>
    <w:rsid w:val="00AC6EE4"/>
    <w:rsid w:val="00AE546B"/>
    <w:rsid w:val="00B30663"/>
    <w:rsid w:val="00B35C36"/>
    <w:rsid w:val="00B653C4"/>
    <w:rsid w:val="00BA5DC9"/>
    <w:rsid w:val="00BB0188"/>
    <w:rsid w:val="00BC030D"/>
    <w:rsid w:val="00BC3F2A"/>
    <w:rsid w:val="00BC5D67"/>
    <w:rsid w:val="00C3336F"/>
    <w:rsid w:val="00C546DC"/>
    <w:rsid w:val="00C55E15"/>
    <w:rsid w:val="00C66B22"/>
    <w:rsid w:val="00C72BEB"/>
    <w:rsid w:val="00C7727F"/>
    <w:rsid w:val="00C83D21"/>
    <w:rsid w:val="00C92FC7"/>
    <w:rsid w:val="00CC44B3"/>
    <w:rsid w:val="00CC6393"/>
    <w:rsid w:val="00CD13E2"/>
    <w:rsid w:val="00CE4E98"/>
    <w:rsid w:val="00CF3EFE"/>
    <w:rsid w:val="00CF3FA1"/>
    <w:rsid w:val="00D062EA"/>
    <w:rsid w:val="00D1381C"/>
    <w:rsid w:val="00D2279E"/>
    <w:rsid w:val="00D31FA5"/>
    <w:rsid w:val="00D41E1F"/>
    <w:rsid w:val="00D47242"/>
    <w:rsid w:val="00D65257"/>
    <w:rsid w:val="00D6731A"/>
    <w:rsid w:val="00D75D04"/>
    <w:rsid w:val="00D8193C"/>
    <w:rsid w:val="00D839C7"/>
    <w:rsid w:val="00D9195F"/>
    <w:rsid w:val="00D944D1"/>
    <w:rsid w:val="00DC111D"/>
    <w:rsid w:val="00DC67A5"/>
    <w:rsid w:val="00DE6D22"/>
    <w:rsid w:val="00E014CC"/>
    <w:rsid w:val="00E14183"/>
    <w:rsid w:val="00E16686"/>
    <w:rsid w:val="00E16E79"/>
    <w:rsid w:val="00E451C5"/>
    <w:rsid w:val="00E70063"/>
    <w:rsid w:val="00E8463B"/>
    <w:rsid w:val="00E9076C"/>
    <w:rsid w:val="00E93E77"/>
    <w:rsid w:val="00EB125F"/>
    <w:rsid w:val="00EB2324"/>
    <w:rsid w:val="00ED65F7"/>
    <w:rsid w:val="00ED672B"/>
    <w:rsid w:val="00ED759C"/>
    <w:rsid w:val="00EE4600"/>
    <w:rsid w:val="00EF37FE"/>
    <w:rsid w:val="00F06E48"/>
    <w:rsid w:val="00F11AC1"/>
    <w:rsid w:val="00F12FAC"/>
    <w:rsid w:val="00F265EA"/>
    <w:rsid w:val="00F56A53"/>
    <w:rsid w:val="00F57207"/>
    <w:rsid w:val="00F76315"/>
    <w:rsid w:val="00F800CA"/>
    <w:rsid w:val="00F83E8A"/>
    <w:rsid w:val="00FA2099"/>
    <w:rsid w:val="00FD7FB1"/>
    <w:rsid w:val="00FF6759"/>
    <w:rsid w:val="37A91900"/>
    <w:rsid w:val="49787B2B"/>
    <w:rsid w:val="4F2705FD"/>
    <w:rsid w:val="526F17C1"/>
    <w:rsid w:val="53E84D08"/>
    <w:rsid w:val="757840E4"/>
    <w:rsid w:val="7C222F8E"/>
    <w:rsid w:val="7C81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spacing w:line="580" w:lineRule="exact"/>
      <w:ind w:firstLine="880" w:firstLineChars="20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link w:val="17"/>
    <w:semiHidden/>
    <w:qFormat/>
    <w:uiPriority w:val="0"/>
    <w:pPr>
      <w:widowControl/>
      <w:spacing w:line="360" w:lineRule="auto"/>
    </w:pPr>
    <w:rPr>
      <w:rFonts w:ascii="Times New Roman" w:hAnsi="Times New Roman" w:eastAsia="PMingLiU" w:cs="Times New Roman"/>
      <w:sz w:val="24"/>
      <w:lang w:eastAsia="zh-TW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正文文本 字符"/>
    <w:basedOn w:val="9"/>
    <w:link w:val="4"/>
    <w:semiHidden/>
    <w:qFormat/>
    <w:uiPriority w:val="0"/>
    <w:rPr>
      <w:rFonts w:ascii="Times New Roman" w:hAnsi="Times New Roman" w:eastAsia="PMingLiU" w:cs="Times New Roman"/>
      <w:sz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415</Words>
  <Characters>2371</Characters>
  <Lines>19</Lines>
  <Paragraphs>5</Paragraphs>
  <TotalTime>180</TotalTime>
  <ScaleCrop>false</ScaleCrop>
  <LinksUpToDate>false</LinksUpToDate>
  <CharactersWithSpaces>2781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2022-04-11T01:23:00Z</dcterms:created>
  <dc:creator>张永奇</dc:creator>
  <cp:lastModifiedBy>Mandy</cp:lastModifiedBy>
  <dcterms:modified xsi:type="dcterms:W3CDTF">2023-11-07T02:46:23Z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42A6A20DA9BF4A018580D971FD5542F1_12</vt:lpwstr>
  </property>
</Properties>
</file>